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center"/>
      </w:tblPr>
      <w:tblGrid>
        <w:gridCol w:w="6336"/>
        <w:gridCol w:w="2040"/>
        <w:gridCol w:w="2040"/>
      </w:tblGrid>
      <w:tr>
        <w:trPr>
          <w:trHeight w:val="25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ООО "Центр подготовки и оценки труда "Знание"; Регистрационный номер - 357 от 24.08.2016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(полное наименование организации, проводящей специальную оценку условий труда, регистрационный номер записи в реестре организаций, проводящих специальную оценку условий труда)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Регистрационный номер аттестата аккредитации ИЛ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Дата получения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Дата окончания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ЯА.КЦ.22ЭН80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07.07.2016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6"/>
              </w:rPr>
              <w:t>бессрочно</w:t>
            </w:r>
          </w:p>
        </w:tc>
      </w:tr>
    </w:tbl>
    <w:p>
      <w:pPr>
        <w:framePr w:w="104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/>
        <w:keepLines/>
        <w:shd w:val="clear" w:color="auto" w:fill="auto"/>
        <w:bidi w:val="0"/>
        <w:spacing w:before="120" w:after="0"/>
        <w:ind w:left="0" w:right="20" w:firstLine="0"/>
      </w:pPr>
      <w:bookmarkStart w:id="0" w:name="bookmark0"/>
      <w:r>
        <w:rPr>
          <w:rStyle w:val="CharStyle14"/>
          <w:b/>
          <w:bCs/>
        </w:rPr>
        <w:t>ЗАКЛЮЧЕНИЕ ЭКСПЕРТА</w:t>
        <w:br/>
        <w:t>по результатам специальной оценки условий труда</w:t>
      </w:r>
      <w:bookmarkEnd w:id="0"/>
    </w:p>
    <w:p>
      <w:pPr>
        <w:pStyle w:val="Style3"/>
        <w:tabs>
          <w:tab w:leader="none" w:pos="4248" w:val="left"/>
          <w:tab w:leader="none" w:pos="6074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000" w:right="0" w:firstLine="0"/>
      </w:pPr>
      <w:r>
        <w:rPr>
          <w:rStyle w:val="CharStyle15"/>
        </w:rPr>
        <w:t>№</w:t>
        <w:tab/>
        <w:t>2091</w:t>
        <w:tab/>
        <w:t>24.05.2019</w:t>
      </w:r>
    </w:p>
    <w:p>
      <w:pPr>
        <w:pStyle w:val="Style16"/>
        <w:tabs>
          <w:tab w:leader="none" w:pos="6470" w:val="left"/>
        </w:tabs>
        <w:widowControl w:val="0"/>
        <w:keepNext w:val="0"/>
        <w:keepLines w:val="0"/>
        <w:shd w:val="clear" w:color="auto" w:fill="auto"/>
        <w:bidi w:val="0"/>
        <w:spacing w:before="0" w:after="398" w:line="130" w:lineRule="exact"/>
        <w:ind w:left="3580" w:right="0" w:firstLine="0"/>
      </w:pPr>
      <w:r>
        <w:rPr>
          <w:rStyle w:val="CharStyle18"/>
        </w:rPr>
        <w:t>(идентификационный номер)</w:t>
        <w:tab/>
        <w:t>(дата)</w:t>
      </w:r>
    </w:p>
    <w:p>
      <w:pPr>
        <w:pStyle w:val="Style3"/>
        <w:numPr>
          <w:ilvl w:val="0"/>
          <w:numId w:val="1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rStyle w:val="CharStyle15"/>
        </w:rPr>
        <w:t>На основании:</w:t>
      </w:r>
    </w:p>
    <w:p>
      <w:pPr>
        <w:pStyle w:val="Style3"/>
        <w:numPr>
          <w:ilvl w:val="0"/>
          <w:numId w:val="3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rStyle w:val="CharStyle15"/>
        </w:rPr>
        <w:t>Федерального закона Российской Федерации N 426-ФЗ "О специальной оценке условий труда",</w:t>
      </w:r>
    </w:p>
    <w:p>
      <w:pPr>
        <w:pStyle w:val="Style3"/>
        <w:numPr>
          <w:ilvl w:val="0"/>
          <w:numId w:val="3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540" w:firstLine="0"/>
      </w:pPr>
      <w:r>
        <w:rPr>
          <w:rStyle w:val="CharStyle15"/>
        </w:rPr>
        <w:t>приказа Минтруда России №33н от 24.01.2014г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заполнению»,</w:t>
      </w:r>
    </w:p>
    <w:p>
      <w:pPr>
        <w:pStyle w:val="Style3"/>
        <w:numPr>
          <w:ilvl w:val="0"/>
          <w:numId w:val="3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rStyle w:val="CharStyle15"/>
        </w:rPr>
        <w:t>приказа «Об организации и проведении специальной оценки условий труда» № 25 от 23.04.2019 проведена специальная оценка условий труда совместно с работодателем: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199"/>
        <w:ind w:left="0" w:right="0" w:firstLine="0"/>
      </w:pPr>
      <w:r>
        <w:rPr>
          <w:rStyle w:val="CharStyle22"/>
          <w:i/>
          <w:iCs/>
        </w:rPr>
        <w:t xml:space="preserve">муниципальное дошкольное образовательное учреждение "Детский сад №10 " </w:t>
      </w:r>
      <w:r>
        <w:rPr>
          <w:rStyle w:val="CharStyle23"/>
          <w:i/>
          <w:iCs/>
        </w:rPr>
        <w:t xml:space="preserve">РадугаАдрес: </w:t>
      </w:r>
      <w:r>
        <w:rPr>
          <w:rStyle w:val="CharStyle22"/>
          <w:i/>
          <w:iCs/>
        </w:rPr>
        <w:t>152240, Ярославская область, г. Гаврилов-Ям, ул. Комарова, 22</w:t>
      </w:r>
    </w:p>
    <w:p>
      <w:pPr>
        <w:pStyle w:val="Style3"/>
        <w:numPr>
          <w:ilvl w:val="0"/>
          <w:numId w:val="1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rStyle w:val="CharStyle15"/>
        </w:rPr>
        <w:t>Для проведения специальной оценки условий труда по договору № 2091 от 18.12.2018 привлекалась организация, проводящая специальную оценку условий труда: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2"/>
          <w:i/>
          <w:iCs/>
        </w:rPr>
        <w:t>ООО "Центр подготовки и оценки труда "Знание"; 150023, г. Ярославль, ул. Курчатова, д.7а.; Регистрационный номер</w:t>
      </w:r>
      <w:r>
        <w:rPr>
          <w:rStyle w:val="CharStyle25"/>
          <w:i w:val="0"/>
          <w:iCs w:val="0"/>
        </w:rPr>
        <w:t xml:space="preserve"> - </w:t>
      </w:r>
      <w:r>
        <w:rPr>
          <w:rStyle w:val="CharStyle22"/>
          <w:i/>
          <w:iCs/>
        </w:rPr>
        <w:t>357 от 24.08.2016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15"/>
        </w:rPr>
        <w:t>и эксперт(ы) организации, проводящей специальную оценку условий труда:</w:t>
      </w:r>
    </w:p>
    <w:p>
      <w:pPr>
        <w:pStyle w:val="Style20"/>
        <w:tabs>
          <w:tab w:leader="none" w:pos="6074" w:val="left"/>
        </w:tabs>
        <w:widowControl w:val="0"/>
        <w:keepNext w:val="0"/>
        <w:keepLines w:val="0"/>
        <w:shd w:val="clear" w:color="auto" w:fill="auto"/>
        <w:bidi w:val="0"/>
        <w:spacing w:before="0" w:after="188" w:line="274" w:lineRule="exact"/>
        <w:ind w:left="0" w:right="0" w:firstLine="0"/>
      </w:pPr>
      <w:r>
        <w:rPr>
          <w:rStyle w:val="CharStyle22"/>
          <w:i/>
          <w:iCs/>
        </w:rPr>
        <w:t>Прохорова Юлия Валентиновна (№ в реестре: 3108); Горшков Михаил Анатольевич (№ в реестре: 3571)</w:t>
      </w:r>
      <w:r>
        <w:rPr>
          <w:rStyle w:val="CharStyle26"/>
          <w:lang w:val="ru-RU" w:eastAsia="ru-RU" w:bidi="ru-RU"/>
          <w:i/>
          <w:iCs/>
        </w:rPr>
        <w:tab/>
      </w:r>
      <w:r>
        <w:rPr>
          <w:rStyle w:val="CharStyle27"/>
          <w:i/>
          <w:iCs/>
        </w:rPr>
        <w:t>\</w:t>
      </w:r>
      <w:r>
        <w:rPr>
          <w:rStyle w:val="CharStyle28"/>
          <w:i w:val="0"/>
          <w:iCs w:val="0"/>
        </w:rPr>
        <w:t xml:space="preserve"> ..</w:t>
      </w:r>
    </w:p>
    <w:p>
      <w:pPr>
        <w:pStyle w:val="Style3"/>
        <w:numPr>
          <w:ilvl w:val="0"/>
          <w:numId w:val="1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rStyle w:val="CharStyle15"/>
        </w:rPr>
        <w:t>Результат проведения специальной оценки условий труда (СОУТ).</w:t>
      </w:r>
    </w:p>
    <w:p>
      <w:pPr>
        <w:pStyle w:val="Style3"/>
        <w:numPr>
          <w:ilvl w:val="1"/>
          <w:numId w:val="1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rStyle w:val="CharStyle15"/>
        </w:rPr>
        <w:t xml:space="preserve">Количество рабочих мест, на которых проведена СОУТ: </w:t>
      </w:r>
      <w:r>
        <w:rPr>
          <w:rStyle w:val="CharStyle30"/>
        </w:rPr>
        <w:t>34</w:t>
      </w:r>
    </w:p>
    <w:p>
      <w:pPr>
        <w:pStyle w:val="Style3"/>
        <w:numPr>
          <w:ilvl w:val="1"/>
          <w:numId w:val="1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31" w:line="264" w:lineRule="exact"/>
        <w:ind w:left="0" w:right="0" w:firstLine="0"/>
      </w:pPr>
      <w:r>
        <w:rPr>
          <w:rStyle w:val="CharStyle15"/>
        </w:rPr>
        <w:t>Рабочие места, подлежащие декларированию: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" w:line="200" w:lineRule="exact"/>
        <w:ind w:left="0" w:right="0" w:firstLine="0"/>
      </w:pPr>
      <w:r>
        <w:rPr>
          <w:rStyle w:val="CharStyle15"/>
        </w:rPr>
        <w:t>Рабочие места, на которых вредные факторы не идентифицированы: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219" w:line="220" w:lineRule="exact"/>
        <w:ind w:left="0" w:right="0" w:firstLine="0"/>
      </w:pPr>
      <w:r>
        <w:rPr>
          <w:rStyle w:val="CharStyle22"/>
          <w:i/>
          <w:iCs/>
        </w:rPr>
        <w:t>Отсутствуют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1" w:line="250" w:lineRule="exact"/>
        <w:ind w:left="0" w:right="0" w:firstLine="0"/>
      </w:pPr>
      <w:r>
        <w:rPr>
          <w:rStyle w:val="CharStyle15"/>
        </w:rPr>
        <w:t>Рабочие места, на которых вредные факторы не выявлены по результатам СОУТ (оптимальные или допустимые условия труда):</w:t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1(2091). Заведующий детским садом (детскими яслями, яслями-садом) (1 чел.);</w:t>
      </w:r>
      <w:r>
        <w:rPr>
          <w:rStyle w:val="CharStyle31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2(2091)А. Воспитатель детского сада (яслей-сада) (1 чел.);</w:t>
      </w:r>
      <w:r>
        <w:rPr>
          <w:rStyle w:val="CharStyle32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3(2091)А (2(2091)А). Воспитатель детского сада (яслей-сада) (1 чел.);</w:t>
      </w:r>
      <w:r>
        <w:rPr>
          <w:rStyle w:val="CharStyle32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4(2091)А (2(2091)А). Воспитатель детского сада (яслей-сада) (1 чел.);</w:t>
      </w:r>
      <w:r>
        <w:rPr>
          <w:rStyle w:val="CharStyle31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5(2091)А (2(2091)А). Воспитатель детского сада (яслей-сада) (1 чел.);</w:t>
      </w:r>
      <w:r>
        <w:rPr>
          <w:rStyle w:val="CharStyle31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6(2091)А (2(2091)А). Воспитатель детского сада (яслей-сада) (1 чел.);</w:t>
      </w:r>
      <w:r>
        <w:rPr>
          <w:rStyle w:val="CharStyle31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7(2091)А (2(2091)А). Воспитатель детского сада (яслей-сада) (1 чел.);</w:t>
      </w:r>
      <w:r>
        <w:rPr>
          <w:rStyle w:val="CharStyle31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8(2091 )А (2(2091 )А). Воспитатель детского сада (яслей-сада) (1 чел.);</w:t>
      </w:r>
      <w:r>
        <w:rPr>
          <w:rStyle w:val="CharStyle33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9(2091)А (2(2091)А). Воспитатель детского сада (яслей-сада) (1 чел.);</w:t>
      </w:r>
      <w:r>
        <w:rPr>
          <w:rStyle w:val="CharStyle32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10(2091). Утарший вдспитатель детского сада (яслей-сада) (1 чел.);</w:t>
      </w:r>
      <w:r>
        <w:rPr>
          <w:rStyle w:val="CharStyle31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11(2091). Инструктор по физической культуре (1 чел.);</w:t>
      </w:r>
      <w:r>
        <w:rPr>
          <w:rStyle w:val="CharStyle33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12(2091). Музыкальный руководитель (1 чел.);</w:t>
      </w:r>
      <w:r>
        <w:rPr>
          <w:rStyle w:val="CharStyle32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13(2091). Учителъ-логопед (1 чел.);</w:t>
      </w:r>
      <w:r>
        <w:rPr>
          <w:rStyle w:val="CharStyle32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14(2091). Педагог-психолог (1 чел.);</w:t>
      </w:r>
      <w:r>
        <w:rPr>
          <w:rStyle w:val="CharStyle32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15(2091). Старшая медицинская сестра (1 чел.):</w:t>
      </w:r>
      <w:r>
        <w:rPr>
          <w:rStyle w:val="CharStyle32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962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24(2091). Заведующий хозяйством (1 чел.);</w:t>
      </w:r>
      <w:r>
        <w:rPr>
          <w:rStyle w:val="CharStyle32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25(2091). Кладовщик (1 чел.);</w:t>
      </w:r>
      <w:r>
        <w:rPr>
          <w:rStyle w:val="CharStyle31"/>
          <w:lang w:val="ru-RU" w:eastAsia="ru-RU" w:bidi="ru-RU"/>
          <w:i w:val="0"/>
          <w:iCs w:val="0"/>
        </w:rPr>
        <w:tab/>
      </w:r>
      <w:r>
        <w:br w:type="page"/>
      </w:r>
    </w:p>
    <w:p>
      <w:pPr>
        <w:pStyle w:val="Style20"/>
        <w:tabs>
          <w:tab w:leader="underscore" w:pos="1019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28(2091). Кастелянша (1 чел.);</w:t>
      </w:r>
      <w:r>
        <w:rPr>
          <w:rStyle w:val="CharStyle32"/>
          <w:lang w:val="ru-RU" w:eastAsia="ru-RU" w:bidi="ru-RU"/>
          <w:i w:val="0"/>
          <w:iCs w:val="0"/>
        </w:rPr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29(2091). Машинист по стирке и ремонту спецодежды (Рабочий по стирке и ремонту</w:t>
      </w:r>
    </w:p>
    <w:p>
      <w:pPr>
        <w:pStyle w:val="Style20"/>
        <w:tabs>
          <w:tab w:leader="underscore" w:pos="1019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спеиодежды) (1 чел.);</w:t>
      </w:r>
      <w:r>
        <w:rPr>
          <w:rStyle w:val="CharStyle31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9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30(2091). Грузчик (1 чел.);</w:t>
      </w:r>
      <w:r>
        <w:rPr>
          <w:rStyle w:val="CharStyle31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9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31(2091). Дворник (1 чел.);</w:t>
      </w:r>
      <w:r>
        <w:rPr>
          <w:rStyle w:val="CharStyle31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9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32(2091). Рабочий по комплексному обслуживанию и ремонту зданий (1 чел.);</w:t>
      </w:r>
      <w:r>
        <w:rPr>
          <w:rStyle w:val="CharStyle32"/>
          <w:lang w:val="ru-RU" w:eastAsia="ru-RU" w:bidi="ru-RU"/>
          <w:i w:val="0"/>
          <w:iCs w:val="0"/>
        </w:rPr>
        <w:tab/>
      </w:r>
    </w:p>
    <w:p>
      <w:pPr>
        <w:pStyle w:val="Style20"/>
        <w:tabs>
          <w:tab w:leader="underscore" w:pos="1019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2"/>
          <w:i/>
          <w:iCs/>
        </w:rPr>
        <w:t>33(2091). Уборщик производственных и служебных помещений (Уборщик служебных помещений) (1 чел.).</w:t>
      </w:r>
      <w:r>
        <w:rPr>
          <w:rStyle w:val="CharStyle31"/>
          <w:lang w:val="ru-RU" w:eastAsia="ru-RU" w:bidi="ru-RU"/>
          <w:i w:val="0"/>
          <w:iCs w:val="0"/>
        </w:rPr>
        <w:tab/>
      </w:r>
    </w:p>
    <w:p>
      <w:pPr>
        <w:pStyle w:val="Style3"/>
        <w:numPr>
          <w:ilvl w:val="1"/>
          <w:numId w:val="1"/>
        </w:numPr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rStyle w:val="CharStyle15"/>
        </w:rPr>
        <w:t xml:space="preserve">Количество рабочих мест с оптимальными и допустимыми условиями труда: </w:t>
      </w:r>
      <w:r>
        <w:rPr>
          <w:rStyle w:val="CharStyle30"/>
        </w:rPr>
        <w:t>23</w:t>
      </w:r>
    </w:p>
    <w:p>
      <w:pPr>
        <w:pStyle w:val="Style3"/>
        <w:numPr>
          <w:ilvl w:val="1"/>
          <w:numId w:val="1"/>
        </w:numPr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rStyle w:val="CharStyle15"/>
        </w:rPr>
        <w:t xml:space="preserve">Количество рабочих мест с вредными и опасными условиями труда: </w:t>
      </w:r>
      <w:r>
        <w:rPr>
          <w:rStyle w:val="CharStyle34"/>
        </w:rPr>
        <w:t>11</w:t>
      </w:r>
    </w:p>
    <w:p>
      <w:pPr>
        <w:pStyle w:val="Style3"/>
        <w:numPr>
          <w:ilvl w:val="1"/>
          <w:numId w:val="1"/>
        </w:numPr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rStyle w:val="CharStyle15"/>
        </w:rPr>
        <w:t xml:space="preserve">Количество рабочих мест с правом на досрочную страховую пенсию: </w:t>
      </w:r>
      <w:r>
        <w:rPr>
          <w:rStyle w:val="CharStyle34"/>
        </w:rPr>
        <w:t>О</w:t>
      </w:r>
    </w:p>
    <w:p>
      <w:pPr>
        <w:pStyle w:val="Style3"/>
        <w:numPr>
          <w:ilvl w:val="1"/>
          <w:numId w:val="1"/>
        </w:numPr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rStyle w:val="CharStyle15"/>
        </w:rPr>
        <w:t xml:space="preserve">Количество рабочих мест на которых были выявлены профессиональные заболевания: </w:t>
      </w:r>
      <w:r>
        <w:rPr>
          <w:rStyle w:val="CharStyle34"/>
        </w:rPr>
        <w:t>О</w:t>
      </w:r>
    </w:p>
    <w:p>
      <w:pPr>
        <w:pStyle w:val="Style3"/>
        <w:numPr>
          <w:ilvl w:val="1"/>
          <w:numId w:val="1"/>
        </w:numPr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rStyle w:val="CharStyle15"/>
        </w:rPr>
        <w:t xml:space="preserve">Количество рабочих мест на которых были зафиксированы несчастные случаи: </w:t>
      </w:r>
      <w:r>
        <w:rPr>
          <w:rStyle w:val="CharStyle30"/>
        </w:rPr>
        <w:t>4</w:t>
      </w:r>
    </w:p>
    <w:p>
      <w:pPr>
        <w:pStyle w:val="Style3"/>
        <w:numPr>
          <w:ilvl w:val="1"/>
          <w:numId w:val="1"/>
        </w:numPr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spacing w:before="0" w:after="295" w:line="269" w:lineRule="exact"/>
        <w:ind w:left="0" w:right="0" w:firstLine="0"/>
      </w:pPr>
      <w:r>
        <w:rPr>
          <w:rStyle w:val="CharStyle35"/>
        </w:rPr>
        <w:t>Выявленные вредные и (или) опасные производственные факторы на основе измерений и оценок:</w:t>
      </w:r>
    </w:p>
    <w:p>
      <w:pPr>
        <w:pStyle w:val="Style3"/>
        <w:numPr>
          <w:ilvl w:val="0"/>
          <w:numId w:val="1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5pt;margin-top:-55.2pt;width:482.65pt;height:5.e-002pt;z-index:-125829376;mso-wrap-distance-left:10.55pt;mso-wrap-distance-right:23.7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094"/>
                    <w:gridCol w:w="2558"/>
                  </w:tblGrid>
                  <w:tr>
                    <w:trPr>
                      <w:trHeight w:val="26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260" w:right="0" w:firstLine="0"/>
                        </w:pPr>
                        <w:r>
                          <w:rPr>
                            <w:rStyle w:val="CharStyle5"/>
                          </w:rPr>
                          <w:t>Наименование вредного и (или) опасного производственного фактора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Кол-во рабочих мест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Микроклимат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Тяжесть труда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5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Style w:val="CharStyle15"/>
        </w:rPr>
        <w:t>Результаты специальной оценки условий труда представлены в:</w:t>
      </w:r>
    </w:p>
    <w:p>
      <w:pPr>
        <w:pStyle w:val="Style3"/>
        <w:numPr>
          <w:ilvl w:val="0"/>
          <w:numId w:val="3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rStyle w:val="CharStyle15"/>
        </w:rPr>
        <w:t>картах СОУТ;</w:t>
      </w:r>
    </w:p>
    <w:p>
      <w:pPr>
        <w:pStyle w:val="Style3"/>
        <w:numPr>
          <w:ilvl w:val="0"/>
          <w:numId w:val="3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rStyle w:val="CharStyle15"/>
        </w:rPr>
        <w:t>протоколах оценок и измерений ОВПФ;</w:t>
      </w:r>
    </w:p>
    <w:p>
      <w:pPr>
        <w:pStyle w:val="Style3"/>
        <w:numPr>
          <w:ilvl w:val="0"/>
          <w:numId w:val="3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54" w:lineRule="exact"/>
        <w:ind w:left="0" w:right="0" w:firstLine="0"/>
      </w:pPr>
      <w:r>
        <w:rPr>
          <w:rStyle w:val="CharStyle15"/>
        </w:rPr>
        <w:t>сводной ведомости результатов СОУТ.</w:t>
      </w:r>
    </w:p>
    <w:p>
      <w:pPr>
        <w:pStyle w:val="Style3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rStyle w:val="CharStyle15"/>
        </w:rPr>
        <w:t xml:space="preserve">По результатам специальной оценки условий труда разработан перечень рекомендуемых мероприятий по улучшению условий труда для </w:t>
      </w:r>
      <w:r>
        <w:rPr>
          <w:rStyle w:val="CharStyle36"/>
        </w:rPr>
        <w:t>_3_</w:t>
      </w:r>
      <w:r>
        <w:rPr>
          <w:rStyle w:val="CharStyle29"/>
        </w:rPr>
        <w:t xml:space="preserve"> </w:t>
      </w:r>
      <w:r>
        <w:rPr>
          <w:rStyle w:val="CharStyle15"/>
        </w:rPr>
        <w:t>рабочих мест.</w:t>
      </w:r>
    </w:p>
    <w:p>
      <w:pPr>
        <w:pStyle w:val="Style37"/>
        <w:tabs>
          <w:tab w:leader="none" w:pos="64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0" w:right="0" w:firstLine="0"/>
      </w:pPr>
      <w:r>
        <w:rPr>
          <w:rStyle w:val="CharStyle39"/>
          <w:b/>
          <w:bCs/>
        </w:rPr>
        <w:t>4</w:t>
      </w:r>
      <w:r>
        <w:rPr>
          <w:rStyle w:val="CharStyle40"/>
        </w:rPr>
        <w:tab/>
        <w:t>.</w:t>
      </w:r>
    </w:p>
    <w:p>
      <w:pPr>
        <w:pStyle w:val="Style3"/>
        <w:numPr>
          <w:ilvl w:val="0"/>
          <w:numId w:val="1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rStyle w:val="CharStyle15"/>
        </w:rPr>
        <w:t>Рассмотрев результаты специальной оценки условий труда, эксперт заключил:</w:t>
      </w:r>
    </w:p>
    <w:p>
      <w:pPr>
        <w:pStyle w:val="Style3"/>
        <w:numPr>
          <w:ilvl w:val="0"/>
          <w:numId w:val="5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rStyle w:val="CharStyle15"/>
        </w:rPr>
        <w:t>считать работу по СОУТ завершенной;</w:t>
      </w:r>
    </w:p>
    <w:p>
      <w:pPr>
        <w:pStyle w:val="Style3"/>
        <w:numPr>
          <w:ilvl w:val="0"/>
          <w:numId w:val="5"/>
        </w:numPr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5"/>
        </w:rPr>
        <w:t>перечень рекомендуемых мероприятий по улучшению условий труда передать для утверждения работодателю.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  <w:sectPr>
          <w:footerReference w:type="default" r:id="rId5"/>
          <w:headerReference w:type="first" r:id="rId6"/>
          <w:footerReference w:type="first" r:id="rId7"/>
          <w:titlePg/>
          <w:footnotePr>
            <w:pos w:val="pageBottom"/>
            <w:numFmt w:val="decimal"/>
            <w:numRestart w:val="continuous"/>
          </w:footnotePr>
          <w:pgSz w:w="11900" w:h="16840"/>
          <w:pgMar w:top="906" w:left="838" w:right="646" w:bottom="1405" w:header="0" w:footer="3" w:gutter="0"/>
          <w:rtlGutter w:val="0"/>
          <w:cols w:space="720"/>
          <w:noEndnote/>
          <w:docGrid w:linePitch="360"/>
        </w:sectPr>
      </w:pPr>
      <w:r>
        <w:rPr>
          <w:rStyle w:val="CharStyle15"/>
        </w:rPr>
        <w:t xml:space="preserve">Дополнительные предложения эксперта: </w:t>
      </w:r>
      <w:r>
        <w:rPr>
          <w:rStyle w:val="CharStyle35"/>
        </w:rPr>
        <w:t>отсутствуют</w:t>
      </w:r>
      <w:r>
        <w:rPr>
          <w:rStyle w:val="CharStyle15"/>
        </w:rPr>
        <w:t>.</w:t>
      </w:r>
    </w:p>
    <w:p>
      <w:pPr>
        <w:widowControl w:val="0"/>
        <w:spacing w:before="70" w:after="7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974" w:left="0" w:right="0" w:bottom="97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0" type="#_x0000_t202" style="position:absolute;margin-left:3.1pt;margin-top:0.1pt;width:353.3pt;height:25.0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3"/>
                      <w:b/>
                      <w:bCs/>
                    </w:rPr>
                    <w:t>Эксперт(ы) по проведению специальной оценки условий труда: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1760" w:right="0" w:firstLine="0"/>
                  </w:pPr>
                  <w:r>
                    <w:rPr>
                      <w:rStyle w:val="CharStyle45"/>
                    </w:rPr>
                    <w:t>эксперт по специальной оценке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4.15pt;margin-top:23.9pt;width:42.7pt;height:49.8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240" w:right="0" w:firstLine="0"/>
                  </w:pPr>
                  <w:r>
                    <w:rPr>
                      <w:rStyle w:val="CharStyle45"/>
                    </w:rPr>
                    <w:t>3108</w:t>
                  </w:r>
                </w:p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44" w:line="230" w:lineRule="exact"/>
                    <w:ind w:left="0" w:right="2535" w:firstLine="0"/>
                  </w:pPr>
                  <w:r>
                    <w:rPr>
                      <w:rStyle w:val="CharStyle47"/>
                    </w:rPr>
                    <w:t>(№ в реестре</w:t>
                    <w:br/>
                    <w:t>экспертов)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240" w:right="0" w:firstLine="0"/>
                  </w:pPr>
                  <w:r>
                    <w:rPr>
                      <w:rStyle w:val="CharStyle45"/>
                    </w:rPr>
                    <w:t>3571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23.6pt;margin-top:20.1pt;width:127.7pt;height:23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45"/>
                    </w:rPr>
                    <w:t>условий труда</w:t>
                  </w:r>
                </w:p>
                <w:p>
                  <w:pPr>
                    <w:pStyle w:val="Style48"/>
                    <w:tabs>
                      <w:tab w:leader="none" w:pos="179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360" w:right="2535" w:firstLine="0"/>
                  </w:pPr>
                  <w:r>
                    <w:rPr>
                      <w:rStyle w:val="CharStyle50"/>
                    </w:rPr>
                    <w:t>(должность)</w:t>
                    <w:tab/>
                    <w:t>■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4.15pt;margin-top:68.1pt;width:42.7pt;height:24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30" w:lineRule="exact"/>
                    <w:ind w:left="20" w:right="2535" w:firstLine="0"/>
                  </w:pPr>
                  <w:r>
                    <w:rPr>
                      <w:rStyle w:val="CharStyle47"/>
                    </w:rPr>
                    <w:t>(№ в реестре</w:t>
                    <w:br/>
                    <w:t>экспертов)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06.3pt;margin-top:61.85pt;width:100.8pt;height:19.1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53"/>
                    </w:rPr>
                    <w:t>технический директор</w:t>
                  </w:r>
                </w:p>
                <w:p>
                  <w:pPr>
                    <w:pStyle w:val="Style5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60" w:firstLine="0"/>
                  </w:pPr>
                  <w:r>
                    <w:rPr>
                      <w:rStyle w:val="CharStyle56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9.pt;margin-top:13.9pt;width:122.9pt;height:75.85pt;z-index:-251658749;mso-wrap-distance-left:5.pt;mso-wrap-distance-right:5.pt;mso-position-horizontal-relative:margin" wrapcoords="0 0">
            <v:imagedata r:id="rId8" r:href="rId9"/>
            <w10:wrap anchorx="margin"/>
          </v:shape>
        </w:pict>
      </w:r>
      <w:r>
        <w:pict>
          <v:shape id="_x0000_s1036" type="#_x0000_t202" style="position:absolute;margin-left:356.9pt;margin-top:25.45pt;width:144.5pt;height:19.1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hyphen" w:pos="281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4" w:lineRule="exact"/>
                    <w:ind w:left="1200" w:right="0"/>
                  </w:pPr>
                  <w:r>
                    <w:rPr>
                      <w:rStyle w:val="CharStyle45"/>
                    </w:rPr>
                    <w:t>Прохорова Юлия Валентиновна</w:t>
                    <w:br/>
                  </w:r>
                  <w:r>
                    <w:rPr>
                      <w:rStyle w:val="CharStyle57"/>
                    </w:rPr>
                    <w:t>СФТГОТ)</w:t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59.3pt;margin-top:62.9pt;width:139.2pt;height:19.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hyphen" w:pos="270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9" w:lineRule="exact"/>
                    <w:ind w:left="1160" w:right="0" w:hanging="1160"/>
                  </w:pPr>
                  <w:r>
                    <w:rPr>
                      <w:rStyle w:val="CharStyle45"/>
                    </w:rPr>
                    <w:t>Горшков Михаил Анатольевич</w:t>
                    <w:br/>
                  </w:r>
                  <w:r>
                    <w:rPr>
                      <w:rStyle w:val="CharStyle58"/>
                    </w:rPr>
                    <w:t>(Ф.И.О.)</w:t>
                    <w:tab/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5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974" w:left="823" w:right="737" w:bottom="97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512.55pt;margin-top:786.75pt;width:44.4pt;height:9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Стр. </w:t>
                </w:r>
                <w:fldSimple w:instr=" PAGE \* MERGEFORMAT ">
                  <w:r>
                    <w:rPr>
                      <w:rStyle w:val="CharStyle11"/>
                    </w:rPr>
                    <w:t>#</w:t>
                  </w:r>
                </w:fldSimple>
                <w:r>
                  <w:rPr>
                    <w:rStyle w:val="CharStyle11"/>
                  </w:rPr>
                  <w:t xml:space="preserve"> из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512.75pt;margin-top:785.1pt;width:44.4pt;height:9.1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Стр. </w:t>
                </w:r>
                <w:fldSimple w:instr=" PAGE \* MERGEFORMAT ">
                  <w:r>
                    <w:rPr>
                      <w:rStyle w:val="CharStyle11"/>
                    </w:rPr>
                    <w:t>#</w:t>
                  </w:r>
                </w:fldSimple>
                <w:r>
                  <w:rPr>
                    <w:rStyle w:val="CharStyle11"/>
                  </w:rPr>
                  <w:t xml:space="preserve"> из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75.pt;margin-top:25.7pt;width:5.05pt;height:4.3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%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7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9">
    <w:name w:val="Колонтитул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Колонтитул + 6 pt"/>
    <w:basedOn w:val="CharStyle9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1">
    <w:name w:val="Колонтитул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Заголовок №1_"/>
    <w:basedOn w:val="DefaultParagraphFont"/>
    <w:link w:val="Style1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Заголовок №1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3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8">
    <w:name w:val="Основной текст (3)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Основной текст (4)_"/>
    <w:basedOn w:val="DefaultParagraphFont"/>
    <w:link w:val="Style20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Основной текст (4)"/>
    <w:basedOn w:val="CharStyle2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3">
    <w:name w:val="Основной текст (4) + Интервал 1 pt"/>
    <w:basedOn w:val="CharStyle21"/>
    <w:rPr>
      <w:lang w:val="ru-RU" w:eastAsia="ru-RU" w:bidi="ru-RU"/>
      <w:u w:val="single"/>
      <w:w w:val="100"/>
      <w:spacing w:val="30"/>
      <w:color w:val="000000"/>
      <w:position w:val="0"/>
    </w:rPr>
  </w:style>
  <w:style w:type="character" w:customStyle="1" w:styleId="CharStyle24">
    <w:name w:val="Основной текст (2) + 10,5 pt,Курсив,Интервал 0 pt"/>
    <w:basedOn w:val="CharStyle4"/>
    <w:rPr>
      <w:lang w:val="ru-RU" w:eastAsia="ru-RU" w:bidi="ru-RU"/>
      <w:i/>
      <w:iCs/>
      <w:sz w:val="21"/>
      <w:szCs w:val="21"/>
      <w:w w:val="100"/>
      <w:spacing w:val="10"/>
      <w:color w:val="000000"/>
      <w:position w:val="0"/>
    </w:rPr>
  </w:style>
  <w:style w:type="character" w:customStyle="1" w:styleId="CharStyle25">
    <w:name w:val="Основной текст (4) + 4 pt,Не курсив,Интервал 0 pt"/>
    <w:basedOn w:val="CharStyle21"/>
    <w:rPr>
      <w:lang w:val="ru-RU" w:eastAsia="ru-RU" w:bidi="ru-RU"/>
      <w:i/>
      <w:iCs/>
      <w:u w:val="single"/>
      <w:sz w:val="8"/>
      <w:szCs w:val="8"/>
      <w:w w:val="100"/>
      <w:spacing w:val="-10"/>
      <w:color w:val="000000"/>
      <w:position w:val="0"/>
    </w:rPr>
  </w:style>
  <w:style w:type="character" w:customStyle="1" w:styleId="CharStyle26">
    <w:name w:val="Основной текст (4)"/>
    <w:basedOn w:val="CharStyle21"/>
    <w:rPr>
      <w:lang w:val="1024"/>
      <w:w w:val="100"/>
      <w:spacing w:val="0"/>
      <w:color w:val="000000"/>
      <w:position w:val="0"/>
    </w:rPr>
  </w:style>
  <w:style w:type="character" w:customStyle="1" w:styleId="CharStyle27">
    <w:name w:val="Основной текст (4)"/>
    <w:basedOn w:val="CharStyle2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8">
    <w:name w:val="Основной текст (4) + 4 pt,Не курсив,Интервал 0 pt"/>
    <w:basedOn w:val="CharStyle21"/>
    <w:rPr>
      <w:lang w:val="ru-RU" w:eastAsia="ru-RU" w:bidi="ru-RU"/>
      <w:i/>
      <w:iCs/>
      <w:sz w:val="8"/>
      <w:szCs w:val="8"/>
      <w:w w:val="100"/>
      <w:spacing w:val="-10"/>
      <w:color w:val="000000"/>
      <w:position w:val="0"/>
    </w:rPr>
  </w:style>
  <w:style w:type="character" w:customStyle="1" w:styleId="CharStyle29">
    <w:name w:val="Основной текст (2) + 4 pt,Интервал 0 pt"/>
    <w:basedOn w:val="CharStyle4"/>
    <w:rPr>
      <w:lang w:val="ru-RU" w:eastAsia="ru-RU" w:bidi="ru-RU"/>
      <w:sz w:val="8"/>
      <w:szCs w:val="8"/>
      <w:w w:val="100"/>
      <w:spacing w:val="-10"/>
      <w:color w:val="000000"/>
      <w:position w:val="0"/>
    </w:rPr>
  </w:style>
  <w:style w:type="character" w:customStyle="1" w:styleId="CharStyle30">
    <w:name w:val="Основной текст (2) + 11 pt,Курсив"/>
    <w:basedOn w:val="CharStyle4"/>
    <w:rPr>
      <w:lang w:val="ru-RU" w:eastAsia="ru-RU" w:bidi="ru-RU"/>
      <w:i/>
      <w:i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31">
    <w:name w:val="Основной текст (4) + 4 pt,Не курсив,Интервал 0 pt"/>
    <w:basedOn w:val="CharStyle21"/>
    <w:rPr>
      <w:lang w:val="1024"/>
      <w:i/>
      <w:iCs/>
      <w:sz w:val="8"/>
      <w:szCs w:val="8"/>
      <w:w w:val="100"/>
      <w:spacing w:val="-10"/>
      <w:color w:val="000000"/>
      <w:position w:val="0"/>
    </w:rPr>
  </w:style>
  <w:style w:type="character" w:customStyle="1" w:styleId="CharStyle32">
    <w:name w:val="Основной текст (4) + 4 pt,Не курсив,Интервал 0 pt"/>
    <w:basedOn w:val="CharStyle21"/>
    <w:rPr>
      <w:lang w:val="1024"/>
      <w:i/>
      <w:iCs/>
      <w:sz w:val="8"/>
      <w:szCs w:val="8"/>
      <w:w w:val="100"/>
      <w:spacing w:val="-10"/>
      <w:color w:val="000000"/>
      <w:position w:val="0"/>
    </w:rPr>
  </w:style>
  <w:style w:type="character" w:customStyle="1" w:styleId="CharStyle33">
    <w:name w:val="Основной текст (4) + 4 pt,Не курсив,Интервал 0 pt"/>
    <w:basedOn w:val="CharStyle21"/>
    <w:rPr>
      <w:lang w:val="1024"/>
      <w:i/>
      <w:iCs/>
      <w:sz w:val="8"/>
      <w:szCs w:val="8"/>
      <w:w w:val="100"/>
      <w:spacing w:val="-10"/>
      <w:color w:val="000000"/>
      <w:position w:val="0"/>
    </w:rPr>
  </w:style>
  <w:style w:type="character" w:customStyle="1" w:styleId="CharStyle34">
    <w:name w:val="Основной текст (2) + 10,5 pt,Курсив,Интервал 0 pt"/>
    <w:basedOn w:val="CharStyle4"/>
    <w:rPr>
      <w:lang w:val="ru-RU" w:eastAsia="ru-RU" w:bidi="ru-RU"/>
      <w:i/>
      <w:iCs/>
      <w:u w:val="single"/>
      <w:sz w:val="21"/>
      <w:szCs w:val="21"/>
      <w:w w:val="100"/>
      <w:spacing w:val="10"/>
      <w:color w:val="000000"/>
      <w:position w:val="0"/>
    </w:rPr>
  </w:style>
  <w:style w:type="character" w:customStyle="1" w:styleId="CharStyle35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6">
    <w:name w:val="Основной текст (2) + 11 pt,Курсив"/>
    <w:basedOn w:val="CharStyle4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38">
    <w:name w:val="Основной текст (5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9">
    <w:name w:val="Основной текст (5) + Verdana,4 pt,Полужирный"/>
    <w:basedOn w:val="CharStyle38"/>
    <w:rPr>
      <w:lang w:val="ru-RU" w:eastAsia="ru-RU" w:bidi="ru-RU"/>
      <w:b/>
      <w:bCs/>
      <w:sz w:val="8"/>
      <w:szCs w:val="8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40">
    <w:name w:val="Основной текст (5)"/>
    <w:basedOn w:val="CharStyle3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2">
    <w:name w:val="Основной текст (6) Exact"/>
    <w:basedOn w:val="DefaultParagraphFont"/>
    <w:link w:val="Style4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3">
    <w:name w:val="Основной текст (6) Exact"/>
    <w:basedOn w:val="CharStyle4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5">
    <w:name w:val="Основной текст (2) Exact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6">
    <w:name w:val="Основной текст (3)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47">
    <w:name w:val="Основной текст (3) Exact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9">
    <w:name w:val="Основной текст (7) Exact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50">
    <w:name w:val="Основной текст (7) Exact"/>
    <w:basedOn w:val="CharStyle4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2">
    <w:name w:val="Подпись к картинке Exact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3">
    <w:name w:val="Подпись к картинке Exact"/>
    <w:basedOn w:val="CharStyle5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5">
    <w:name w:val="Подпись к картинке (2) Exact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56">
    <w:name w:val="Подпись к картинке (2) Exact"/>
    <w:basedOn w:val="CharStyle5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7">
    <w:name w:val="Основной текст (2) + 8 pt,Интервал -1 pt Exact"/>
    <w:basedOn w:val="CharStyle4"/>
    <w:rPr>
      <w:lang w:val="ru-RU" w:eastAsia="ru-RU" w:bidi="ru-RU"/>
      <w:sz w:val="16"/>
      <w:szCs w:val="16"/>
      <w:w w:val="100"/>
      <w:spacing w:val="-20"/>
      <w:color w:val="000000"/>
      <w:position w:val="0"/>
    </w:rPr>
  </w:style>
  <w:style w:type="character" w:customStyle="1" w:styleId="CharStyle58">
    <w:name w:val="Основной текст (2) + Verdana,5 pt Exact"/>
    <w:basedOn w:val="CharStyle4"/>
    <w:rPr>
      <w:lang w:val="ru-RU" w:eastAsia="ru-RU" w:bidi="ru-RU"/>
      <w:sz w:val="10"/>
      <w:szCs w:val="10"/>
      <w:rFonts w:ascii="Verdana" w:eastAsia="Verdana" w:hAnsi="Verdana" w:cs="Verdana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line="0" w:lineRule="exact"/>
      <w:ind w:hanging="12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center"/>
      <w:outlineLvl w:val="0"/>
      <w:spacing w:before="18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3)"/>
    <w:basedOn w:val="Normal"/>
    <w:link w:val="CharStyle17"/>
    <w:pPr>
      <w:widowControl w:val="0"/>
      <w:shd w:val="clear" w:color="auto" w:fill="FFFFFF"/>
      <w:jc w:val="both"/>
      <w:spacing w:after="48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20">
    <w:name w:val="Основной текст (4)"/>
    <w:basedOn w:val="Normal"/>
    <w:link w:val="CharStyle21"/>
    <w:pPr>
      <w:widowControl w:val="0"/>
      <w:shd w:val="clear" w:color="auto" w:fill="FFFFFF"/>
      <w:jc w:val="both"/>
      <w:spacing w:after="180" w:line="278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7">
    <w:name w:val="Основной текст (5)"/>
    <w:basedOn w:val="Normal"/>
    <w:link w:val="CharStyle38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1">
    <w:name w:val="Основной текст (6)"/>
    <w:basedOn w:val="Normal"/>
    <w:link w:val="CharStyle42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8">
    <w:name w:val="Основной текст (7)"/>
    <w:basedOn w:val="Normal"/>
    <w:link w:val="CharStyle49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1">
    <w:name w:val="Подпись к картинке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4">
    <w:name w:val="Подпись к картинке (2)"/>
    <w:basedOn w:val="Normal"/>
    <w:link w:val="CharStyle55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image" Target="media/image1.png" TargetMode="External"/></Relationships>
</file>